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8BCA4E4" w14:textId="77777777" w:rsidR="00344B73" w:rsidRDefault="00344B73" w:rsidP="00344B73">
      <w:pPr>
        <w:pStyle w:val="Sinespaciado"/>
        <w:rPr>
          <w:rFonts w:ascii="Futura Lt BT" w:hAnsi="Futura Lt BT"/>
          <w:b/>
          <w:noProof/>
          <w:sz w:val="36"/>
          <w:szCs w:val="36"/>
        </w:rPr>
      </w:pPr>
    </w:p>
    <w:p w14:paraId="0F1876EE" w14:textId="77777777" w:rsidR="00344B73" w:rsidRDefault="00344B73" w:rsidP="00344B73">
      <w:pPr>
        <w:pStyle w:val="Sinespaciado"/>
        <w:rPr>
          <w:rFonts w:ascii="Futura Lt BT" w:hAnsi="Futura Lt BT"/>
          <w:b/>
          <w:noProof/>
          <w:sz w:val="36"/>
          <w:szCs w:val="36"/>
        </w:rPr>
      </w:pPr>
    </w:p>
    <w:p w14:paraId="4BBA7FC3" w14:textId="680E7E84" w:rsidR="002F0232" w:rsidRPr="00344B73" w:rsidRDefault="002F0232" w:rsidP="00344B73">
      <w:pPr>
        <w:pStyle w:val="Sinespaciado"/>
        <w:rPr>
          <w:rFonts w:ascii="Futura Lt BT" w:hAnsi="Futura Lt BT"/>
          <w:b/>
          <w:noProof/>
          <w:sz w:val="36"/>
          <w:szCs w:val="36"/>
        </w:rPr>
      </w:pPr>
      <w:r w:rsidRPr="00344B73">
        <w:rPr>
          <w:rFonts w:ascii="Futura Lt BT" w:hAnsi="Futura Lt BT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CF7FCF4" wp14:editId="10AFE7CC">
            <wp:simplePos x="0" y="0"/>
            <wp:positionH relativeFrom="page">
              <wp:posOffset>2095</wp:posOffset>
            </wp:positionH>
            <wp:positionV relativeFrom="page">
              <wp:posOffset>12032</wp:posOffset>
            </wp:positionV>
            <wp:extent cx="7761009" cy="1929600"/>
            <wp:effectExtent l="0" t="0" r="0" b="0"/>
            <wp:wrapTight wrapText="bothSides">
              <wp:wrapPolygon edited="0">
                <wp:start x="0" y="0"/>
                <wp:lineTo x="0" y="21330"/>
                <wp:lineTo x="21526" y="21330"/>
                <wp:lineTo x="21526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ta de Prensa 2026 superi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009" cy="19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4B73" w:rsidRPr="00344B73">
        <w:rPr>
          <w:rFonts w:ascii="Futura Lt BT" w:hAnsi="Futura Lt BT"/>
          <w:b/>
          <w:noProof/>
          <w:sz w:val="36"/>
          <w:szCs w:val="36"/>
        </w:rPr>
        <w:t xml:space="preserve">BCN MANTIENE ESTABLES TASAS DE INTERÉS </w:t>
      </w:r>
      <w:r w:rsidR="00344B73" w:rsidRPr="00344B73">
        <w:rPr>
          <w:rFonts w:ascii="Futura Lt BT" w:hAnsi="Futura Lt BT"/>
          <w:b/>
          <w:noProof/>
          <w:sz w:val="36"/>
          <w:szCs w:val="36"/>
        </w:rPr>
        <w:br/>
        <w:t>OPERACIONES FINANCIERAS</w:t>
      </w:r>
    </w:p>
    <w:p w14:paraId="4CC437DA" w14:textId="77777777" w:rsidR="00491182" w:rsidRPr="00344B73" w:rsidRDefault="00491182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1E9F8222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sz w:val="35"/>
          <w:szCs w:val="35"/>
        </w:rPr>
        <w:t xml:space="preserve">El Banco Central de Nicaragua (BCN) informa que decidió </w:t>
      </w:r>
      <w:r w:rsidR="00A93F02" w:rsidRPr="00344B73">
        <w:rPr>
          <w:rFonts w:ascii="Futura Lt BT" w:hAnsi="Futura Lt BT"/>
          <w:b/>
          <w:sz w:val="35"/>
          <w:szCs w:val="35"/>
        </w:rPr>
        <w:t>mantener estables</w:t>
      </w:r>
      <w:r w:rsidR="00F46023" w:rsidRPr="00344B73">
        <w:rPr>
          <w:rFonts w:ascii="Futura Lt BT" w:hAnsi="Futura Lt BT"/>
          <w:b/>
          <w:sz w:val="35"/>
          <w:szCs w:val="35"/>
        </w:rPr>
        <w:t xml:space="preserve"> </w:t>
      </w:r>
      <w:r w:rsidR="00EE6533" w:rsidRPr="00344B73">
        <w:rPr>
          <w:rFonts w:ascii="Futura Lt BT" w:hAnsi="Futura Lt BT"/>
          <w:b/>
          <w:sz w:val="35"/>
          <w:szCs w:val="35"/>
        </w:rPr>
        <w:t xml:space="preserve">las tasas de interés de sus </w:t>
      </w:r>
      <w:r w:rsidR="00EE6533" w:rsidRPr="00344B73">
        <w:rPr>
          <w:rFonts w:ascii="Futura Lt BT" w:hAnsi="Futura Lt BT"/>
          <w:b/>
          <w:spacing w:val="-10"/>
          <w:sz w:val="35"/>
          <w:szCs w:val="35"/>
        </w:rPr>
        <w:t>operaciones financieras.</w:t>
      </w:r>
      <w:r w:rsidR="00016B07" w:rsidRPr="00344B73">
        <w:rPr>
          <w:rFonts w:ascii="Futura Lt BT" w:hAnsi="Futura Lt BT"/>
          <w:b/>
          <w:spacing w:val="-10"/>
          <w:sz w:val="35"/>
          <w:szCs w:val="35"/>
        </w:rPr>
        <w:t xml:space="preserve"> </w:t>
      </w:r>
      <w:r w:rsidR="00EE6533" w:rsidRPr="00344B73">
        <w:rPr>
          <w:rFonts w:ascii="Futura Lt BT" w:hAnsi="Futura Lt BT"/>
          <w:b/>
          <w:spacing w:val="-10"/>
          <w:sz w:val="35"/>
          <w:szCs w:val="35"/>
        </w:rPr>
        <w:t>L</w:t>
      </w:r>
      <w:r w:rsidRPr="00344B73">
        <w:rPr>
          <w:rFonts w:ascii="Futura Lt BT" w:hAnsi="Futura Lt BT"/>
          <w:b/>
          <w:spacing w:val="-10"/>
          <w:sz w:val="35"/>
          <w:szCs w:val="35"/>
        </w:rPr>
        <w:t>a Tasa de Referencia Monetaria</w:t>
      </w:r>
      <w:r w:rsidRPr="00344B73">
        <w:rPr>
          <w:rFonts w:ascii="Futura Lt BT" w:hAnsi="Futura Lt BT"/>
          <w:b/>
          <w:sz w:val="35"/>
          <w:szCs w:val="35"/>
        </w:rPr>
        <w:t xml:space="preserve"> (TRM) </w:t>
      </w:r>
      <w:r w:rsidR="00A93F02" w:rsidRPr="00344B73">
        <w:rPr>
          <w:rFonts w:ascii="Futura Lt BT" w:hAnsi="Futura Lt BT"/>
          <w:b/>
          <w:sz w:val="35"/>
          <w:szCs w:val="35"/>
        </w:rPr>
        <w:t xml:space="preserve">se mantiene en </w:t>
      </w:r>
      <w:r w:rsidR="008E4E1A" w:rsidRPr="00344B73">
        <w:rPr>
          <w:rFonts w:ascii="Futura Lt BT" w:hAnsi="Futura Lt BT"/>
          <w:b/>
          <w:sz w:val="35"/>
          <w:szCs w:val="35"/>
        </w:rPr>
        <w:t>5.75</w:t>
      </w:r>
      <w:r w:rsidR="00016B07" w:rsidRPr="00344B73">
        <w:rPr>
          <w:rFonts w:ascii="Futura Lt BT" w:hAnsi="Futura Lt BT"/>
          <w:b/>
          <w:sz w:val="35"/>
          <w:szCs w:val="35"/>
        </w:rPr>
        <w:t xml:space="preserve"> </w:t>
      </w:r>
      <w:r w:rsidRPr="00344B73">
        <w:rPr>
          <w:rFonts w:ascii="Futura Lt BT" w:hAnsi="Futura Lt BT"/>
          <w:b/>
          <w:sz w:val="35"/>
          <w:szCs w:val="35"/>
        </w:rPr>
        <w:t>por ciento. La TRM es la tasa de interés que utiliza el BCN como referencia para señalizar el costo en córdobas de las operaciones monetarias de liquidez a 1 día plazo.</w:t>
      </w:r>
    </w:p>
    <w:p w14:paraId="68502751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66014DE0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sz w:val="35"/>
          <w:szCs w:val="35"/>
        </w:rPr>
        <w:t xml:space="preserve">De igual forma, el BCN resolvió </w:t>
      </w:r>
      <w:r w:rsidR="00A93F02" w:rsidRPr="00344B73">
        <w:rPr>
          <w:rFonts w:ascii="Futura Lt BT" w:hAnsi="Futura Lt BT"/>
          <w:b/>
          <w:sz w:val="35"/>
          <w:szCs w:val="35"/>
        </w:rPr>
        <w:t xml:space="preserve">mantener </w:t>
      </w:r>
      <w:r w:rsidRPr="00344B73">
        <w:rPr>
          <w:rFonts w:ascii="Futura Lt BT" w:hAnsi="Futura Lt BT"/>
          <w:b/>
          <w:sz w:val="35"/>
          <w:szCs w:val="35"/>
        </w:rPr>
        <w:t xml:space="preserve">las tasas de las ventanillas de Reportos Monetarios y Depósitos Monetarios (ambas al plazo de 1 día para operaciones monetarias en córdobas sin mantenimiento de valor) </w:t>
      </w:r>
      <w:r w:rsidR="00A93F02" w:rsidRPr="00344B73">
        <w:rPr>
          <w:rFonts w:ascii="Futura Lt BT" w:hAnsi="Futura Lt BT"/>
          <w:b/>
          <w:sz w:val="35"/>
          <w:szCs w:val="35"/>
        </w:rPr>
        <w:t>en</w:t>
      </w:r>
      <w:r w:rsidR="00016B07" w:rsidRPr="00344B73">
        <w:rPr>
          <w:rFonts w:ascii="Futura Lt BT" w:hAnsi="Futura Lt BT"/>
          <w:b/>
          <w:sz w:val="35"/>
          <w:szCs w:val="35"/>
        </w:rPr>
        <w:t xml:space="preserve"> </w:t>
      </w:r>
      <w:r w:rsidRPr="00344B73">
        <w:rPr>
          <w:rFonts w:ascii="Futura Lt BT" w:hAnsi="Futura Lt BT"/>
          <w:b/>
          <w:sz w:val="35"/>
          <w:szCs w:val="35"/>
        </w:rPr>
        <w:t>7.</w:t>
      </w:r>
      <w:r w:rsidR="00A93F02" w:rsidRPr="00344B73">
        <w:rPr>
          <w:rFonts w:ascii="Futura Lt BT" w:hAnsi="Futura Lt BT"/>
          <w:b/>
          <w:sz w:val="35"/>
          <w:szCs w:val="35"/>
        </w:rPr>
        <w:t>00</w:t>
      </w:r>
      <w:r w:rsidR="00134CB3" w:rsidRPr="00344B73">
        <w:rPr>
          <w:rFonts w:ascii="Futura Lt BT" w:hAnsi="Futura Lt BT"/>
          <w:b/>
          <w:sz w:val="35"/>
          <w:szCs w:val="35"/>
        </w:rPr>
        <w:t xml:space="preserve"> </w:t>
      </w:r>
      <w:r w:rsidRPr="00344B73">
        <w:rPr>
          <w:rFonts w:ascii="Futura Lt BT" w:hAnsi="Futura Lt BT"/>
          <w:b/>
          <w:sz w:val="35"/>
          <w:szCs w:val="35"/>
        </w:rPr>
        <w:t>por ciento y 4.</w:t>
      </w:r>
      <w:r w:rsidR="00134CB3" w:rsidRPr="00344B73">
        <w:rPr>
          <w:rFonts w:ascii="Futura Lt BT" w:hAnsi="Futura Lt BT"/>
          <w:b/>
          <w:sz w:val="35"/>
          <w:szCs w:val="35"/>
        </w:rPr>
        <w:t>5</w:t>
      </w:r>
      <w:r w:rsidR="00A93F02" w:rsidRPr="00344B73">
        <w:rPr>
          <w:rFonts w:ascii="Futura Lt BT" w:hAnsi="Futura Lt BT"/>
          <w:b/>
          <w:sz w:val="35"/>
          <w:szCs w:val="35"/>
        </w:rPr>
        <w:t>0</w:t>
      </w:r>
      <w:r w:rsidR="00134CB3" w:rsidRPr="00344B73">
        <w:rPr>
          <w:rFonts w:ascii="Futura Lt BT" w:hAnsi="Futura Lt BT"/>
          <w:b/>
          <w:sz w:val="35"/>
          <w:szCs w:val="35"/>
        </w:rPr>
        <w:t xml:space="preserve"> </w:t>
      </w:r>
      <w:r w:rsidRPr="00344B73">
        <w:rPr>
          <w:rFonts w:ascii="Futura Lt BT" w:hAnsi="Futura Lt BT"/>
          <w:b/>
          <w:sz w:val="35"/>
          <w:szCs w:val="35"/>
        </w:rPr>
        <w:t>por ciento, respectivamente.</w:t>
      </w:r>
    </w:p>
    <w:p w14:paraId="5B158974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64470360" w14:textId="4860BA45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sz w:val="35"/>
          <w:szCs w:val="35"/>
        </w:rPr>
        <w:t xml:space="preserve">La TRM se establece en correspondencia con la evolución de las tasas de interés internacionales y de las condiciones monetarias internas, enmarcándose en el cumplimiento del objetivo fundamental del BCN, de </w:t>
      </w:r>
      <w:r w:rsidR="00344B73">
        <w:rPr>
          <w:rFonts w:ascii="Futura Lt BT" w:hAnsi="Futura Lt BT"/>
          <w:b/>
          <w:sz w:val="35"/>
          <w:szCs w:val="35"/>
        </w:rPr>
        <w:br/>
      </w:r>
      <w:r w:rsidR="00344B73">
        <w:rPr>
          <w:rFonts w:ascii="Futura Lt BT" w:hAnsi="Futura Lt BT"/>
          <w:b/>
          <w:sz w:val="35"/>
          <w:szCs w:val="35"/>
        </w:rPr>
        <w:lastRenderedPageBreak/>
        <w:br/>
      </w:r>
      <w:r w:rsidRPr="00344B73">
        <w:rPr>
          <w:rFonts w:ascii="Futura Lt BT" w:hAnsi="Futura Lt BT"/>
          <w:b/>
          <w:sz w:val="35"/>
          <w:szCs w:val="35"/>
        </w:rPr>
        <w:t xml:space="preserve">propiciar la estabilidad de la moneda nacional y el normal desenvolvimiento de los pagos internos y externos; así como para apoyar la administración de </w:t>
      </w:r>
      <w:r w:rsidRPr="00344B73">
        <w:rPr>
          <w:rFonts w:ascii="Futura Lt BT" w:hAnsi="Futura Lt BT"/>
          <w:b/>
          <w:spacing w:val="-8"/>
          <w:sz w:val="35"/>
          <w:szCs w:val="35"/>
        </w:rPr>
        <w:t>liquidez del sistema financiero y mantener condiciones</w:t>
      </w:r>
      <w:r w:rsidRPr="00344B73">
        <w:rPr>
          <w:rFonts w:ascii="Futura Lt BT" w:hAnsi="Futura Lt BT"/>
          <w:b/>
          <w:sz w:val="35"/>
          <w:szCs w:val="35"/>
        </w:rPr>
        <w:t xml:space="preserve"> propicias para la intermediación financiera.</w:t>
      </w:r>
    </w:p>
    <w:p w14:paraId="13596AB8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685FDD72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sz w:val="35"/>
          <w:szCs w:val="35"/>
        </w:rPr>
        <w:t>Consideraciones sobre la decisión de la TRM</w:t>
      </w:r>
    </w:p>
    <w:p w14:paraId="40BF5EFE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08AC046D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sz w:val="35"/>
          <w:szCs w:val="35"/>
        </w:rPr>
        <w:t>En la decisión sobre la Tasa de Referencia Monetaria, el BCN tomó en cuenta las siguientes consideraciones:</w:t>
      </w:r>
    </w:p>
    <w:p w14:paraId="4A328E62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108D15B4" w14:textId="38974E4B" w:rsidR="008D4450" w:rsidRPr="00344B73" w:rsidRDefault="009876B0" w:rsidP="00344B73">
      <w:pPr>
        <w:pStyle w:val="Sinespaciado"/>
        <w:numPr>
          <w:ilvl w:val="0"/>
          <w:numId w:val="2"/>
        </w:numPr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sz w:val="35"/>
          <w:szCs w:val="35"/>
        </w:rPr>
        <w:t xml:space="preserve">En 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el entorno </w:t>
      </w:r>
      <w:r w:rsidR="00BB69BD" w:rsidRPr="00344B73">
        <w:rPr>
          <w:rFonts w:ascii="Futura Lt BT" w:hAnsi="Futura Lt BT"/>
          <w:b/>
          <w:sz w:val="35"/>
          <w:szCs w:val="35"/>
        </w:rPr>
        <w:t>externo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, la persistente incertidumbre </w:t>
      </w:r>
      <w:r w:rsidR="007521F8" w:rsidRPr="00344B73">
        <w:rPr>
          <w:rFonts w:ascii="Futura Lt BT" w:hAnsi="Futura Lt BT"/>
          <w:b/>
          <w:spacing w:val="-16"/>
          <w:sz w:val="35"/>
          <w:szCs w:val="35"/>
        </w:rPr>
        <w:t>geopolítica y la tensión comercial continúan incidiendo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 en la evolución de precios internacionales y en las perspectivas de crecimiento económico mundial. Pese a este escenario adverso, la economía global se mantiene en la senda de crecimiento, aunque con señales de moderación. En este contexto, </w:t>
      </w:r>
      <w:r w:rsidR="00BB69BD" w:rsidRPr="00344B73">
        <w:rPr>
          <w:rFonts w:ascii="Futura Lt BT" w:hAnsi="Futura Lt BT"/>
          <w:b/>
          <w:sz w:val="35"/>
          <w:szCs w:val="35"/>
        </w:rPr>
        <w:t>la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 prolongación del repunte inflacionario reciente</w:t>
      </w:r>
      <w:r w:rsidR="00A2746B" w:rsidRPr="00344B73">
        <w:rPr>
          <w:rFonts w:ascii="Futura Lt BT" w:hAnsi="Futura Lt BT"/>
          <w:b/>
          <w:sz w:val="35"/>
          <w:szCs w:val="35"/>
        </w:rPr>
        <w:t xml:space="preserve"> ha conducido </w:t>
      </w:r>
      <w:r w:rsidR="007521F8" w:rsidRPr="00344B73">
        <w:rPr>
          <w:rFonts w:ascii="Futura Lt BT" w:hAnsi="Futura Lt BT"/>
          <w:b/>
          <w:sz w:val="35"/>
          <w:szCs w:val="35"/>
        </w:rPr>
        <w:t>a que los principales bancos centrales aumenten las tasas de interés, revirtiendo parcial</w:t>
      </w:r>
      <w:r w:rsidR="00344B73">
        <w:rPr>
          <w:rFonts w:ascii="Futura Lt BT" w:hAnsi="Futura Lt BT"/>
          <w:b/>
          <w:sz w:val="35"/>
          <w:szCs w:val="35"/>
        </w:rPr>
        <w:t>-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mente los avances alcanzados en la relajación de las </w:t>
      </w:r>
      <w:r w:rsidR="007521F8" w:rsidRPr="00344B73">
        <w:rPr>
          <w:rFonts w:ascii="Futura Lt BT" w:hAnsi="Futura Lt BT"/>
          <w:b/>
          <w:spacing w:val="-14"/>
          <w:kern w:val="35"/>
          <w:sz w:val="35"/>
          <w:szCs w:val="35"/>
        </w:rPr>
        <w:t>condiciones financieras internacionales y</w:t>
      </w:r>
      <w:r w:rsidR="0019313B" w:rsidRPr="00344B73">
        <w:rPr>
          <w:rFonts w:ascii="Futura Lt BT" w:hAnsi="Futura Lt BT"/>
          <w:b/>
          <w:spacing w:val="-14"/>
          <w:kern w:val="35"/>
          <w:sz w:val="35"/>
          <w:szCs w:val="35"/>
        </w:rPr>
        <w:t xml:space="preserve"> consolidando</w:t>
      </w:r>
      <w:r w:rsidR="0019313B" w:rsidRPr="00344B73">
        <w:rPr>
          <w:rFonts w:ascii="Futura Lt BT" w:hAnsi="Futura Lt BT"/>
          <w:b/>
          <w:sz w:val="35"/>
          <w:szCs w:val="35"/>
        </w:rPr>
        <w:t xml:space="preserve"> </w:t>
      </w:r>
      <w:r w:rsidR="007521F8" w:rsidRPr="00344B73">
        <w:rPr>
          <w:rFonts w:ascii="Futura Lt BT" w:hAnsi="Futura Lt BT"/>
          <w:b/>
          <w:sz w:val="35"/>
          <w:szCs w:val="35"/>
        </w:rPr>
        <w:t>una postura de política monetaria restrictiva</w:t>
      </w:r>
      <w:r w:rsidR="0019313B" w:rsidRPr="00344B73">
        <w:rPr>
          <w:rFonts w:ascii="Futura Lt BT" w:hAnsi="Futura Lt BT"/>
          <w:b/>
          <w:sz w:val="35"/>
          <w:szCs w:val="35"/>
        </w:rPr>
        <w:t xml:space="preserve"> por más tiempo</w:t>
      </w:r>
      <w:r w:rsidR="008D4450" w:rsidRPr="00344B73">
        <w:rPr>
          <w:rFonts w:ascii="Futura Lt BT" w:hAnsi="Futura Lt BT"/>
          <w:b/>
          <w:sz w:val="35"/>
          <w:szCs w:val="35"/>
        </w:rPr>
        <w:t>.</w:t>
      </w:r>
    </w:p>
    <w:p w14:paraId="0F86548A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2F65E3D0" w14:textId="77777777" w:rsidR="008D4450" w:rsidRPr="00344B73" w:rsidRDefault="008D4450" w:rsidP="00344B73">
      <w:pPr>
        <w:pStyle w:val="Sinespaciado"/>
        <w:numPr>
          <w:ilvl w:val="0"/>
          <w:numId w:val="2"/>
        </w:numPr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sz w:val="35"/>
          <w:szCs w:val="35"/>
        </w:rPr>
        <w:lastRenderedPageBreak/>
        <w:t xml:space="preserve">En 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el ámbito doméstico, la economía mantiene su </w:t>
      </w:r>
      <w:r w:rsidR="007521F8" w:rsidRPr="00344B73">
        <w:rPr>
          <w:rFonts w:ascii="Futura Lt BT" w:hAnsi="Futura Lt BT"/>
          <w:b/>
          <w:spacing w:val="-10"/>
          <w:sz w:val="35"/>
          <w:szCs w:val="35"/>
        </w:rPr>
        <w:t>trayectoria de crecimiento, impulsada por la mayoría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 de las actividades y la demanda interna, así como por la demanda por exportaciones de mercancías, el dinamismo del crédito al sector privado y el crecimiento de flujos externos. Por su parte, el mercado laboral continúa reflejando una baja tasa de desempleo, aunque con moderación en el desempeño del empleo formal</w:t>
      </w:r>
      <w:r w:rsidRPr="00344B73">
        <w:rPr>
          <w:rFonts w:ascii="Futura Lt BT" w:hAnsi="Futura Lt BT"/>
          <w:b/>
          <w:sz w:val="35"/>
          <w:szCs w:val="35"/>
        </w:rPr>
        <w:t>.</w:t>
      </w:r>
    </w:p>
    <w:p w14:paraId="72E16672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4C2412FB" w14:textId="77777777" w:rsidR="008D4450" w:rsidRPr="00344B73" w:rsidRDefault="009876B0" w:rsidP="00344B73">
      <w:pPr>
        <w:pStyle w:val="Sinespaciado"/>
        <w:numPr>
          <w:ilvl w:val="0"/>
          <w:numId w:val="2"/>
        </w:numPr>
        <w:jc w:val="both"/>
        <w:rPr>
          <w:rFonts w:ascii="Futura Lt BT" w:hAnsi="Futura Lt BT"/>
          <w:b/>
          <w:sz w:val="35"/>
          <w:szCs w:val="35"/>
        </w:rPr>
      </w:pPr>
      <w:bookmarkStart w:id="0" w:name="_Hlk221106351"/>
      <w:r w:rsidRPr="00344B73">
        <w:rPr>
          <w:rFonts w:ascii="Futura Lt BT" w:hAnsi="Futura Lt BT"/>
          <w:b/>
          <w:sz w:val="35"/>
          <w:szCs w:val="35"/>
        </w:rPr>
        <w:t xml:space="preserve">Se 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espera que la inflación doméstica continúe baja y estable, consistente con una política monetaria y fiscal equilibrada. No obstante, subsisten amenazas </w:t>
      </w:r>
      <w:r w:rsidR="007521F8" w:rsidRPr="00344B73">
        <w:rPr>
          <w:rFonts w:ascii="Futura Lt BT" w:hAnsi="Futura Lt BT"/>
          <w:b/>
          <w:spacing w:val="-20"/>
          <w:sz w:val="35"/>
          <w:szCs w:val="35"/>
        </w:rPr>
        <w:t>externas, como el aumento de la inflación internacional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 provocado por las tensiones geopolíticas, que podría</w:t>
      </w:r>
      <w:r w:rsidR="00F86064" w:rsidRPr="00344B73">
        <w:rPr>
          <w:rFonts w:ascii="Futura Lt BT" w:hAnsi="Futura Lt BT"/>
          <w:b/>
          <w:sz w:val="35"/>
          <w:szCs w:val="35"/>
        </w:rPr>
        <w:t xml:space="preserve">n seguir trasladándose 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a los precios locales. Así mismo, las condiciones climáticas pudieran incidir sobre la evolución de precios domésticos. En este entorno, la política de subsidios del Gobierno y </w:t>
      </w:r>
      <w:r w:rsidR="007521F8" w:rsidRPr="00344B73">
        <w:rPr>
          <w:rFonts w:ascii="Futura Lt BT" w:hAnsi="Futura Lt BT"/>
          <w:b/>
          <w:spacing w:val="-10"/>
          <w:sz w:val="35"/>
          <w:szCs w:val="35"/>
        </w:rPr>
        <w:t>la política cambiaria del BCN continúan contribuyendo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 a la estabilidad de precios</w:t>
      </w:r>
      <w:r w:rsidR="008D4450" w:rsidRPr="00344B73">
        <w:rPr>
          <w:rFonts w:ascii="Futura Lt BT" w:hAnsi="Futura Lt BT"/>
          <w:b/>
          <w:sz w:val="35"/>
          <w:szCs w:val="35"/>
        </w:rPr>
        <w:t>.</w:t>
      </w:r>
    </w:p>
    <w:bookmarkEnd w:id="0"/>
    <w:p w14:paraId="1EF912DC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54553612" w14:textId="1FA3782D" w:rsidR="008D4450" w:rsidRPr="00344B73" w:rsidRDefault="009876B0" w:rsidP="00344B73">
      <w:pPr>
        <w:pStyle w:val="Sinespaciado"/>
        <w:numPr>
          <w:ilvl w:val="0"/>
          <w:numId w:val="2"/>
        </w:numPr>
        <w:jc w:val="both"/>
        <w:rPr>
          <w:rFonts w:ascii="Futura Lt BT" w:hAnsi="Futura Lt BT"/>
          <w:b/>
          <w:sz w:val="35"/>
          <w:szCs w:val="35"/>
        </w:rPr>
      </w:pPr>
      <w:bookmarkStart w:id="1" w:name="_Hlk221106396"/>
      <w:r w:rsidRPr="00344B73">
        <w:rPr>
          <w:rFonts w:ascii="Futura Lt BT" w:hAnsi="Futura Lt BT"/>
          <w:b/>
          <w:sz w:val="35"/>
          <w:szCs w:val="35"/>
        </w:rPr>
        <w:t xml:space="preserve">La 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política monetaria ha asegurado la estabilidad de la moneda nacional y el respaldo del tipo de cambio, mediante el fortalecimiento de niveles de reservas internacionales. A la vez, las condiciones monetarias internas están propiciando un buen desempeño del </w:t>
      </w:r>
      <w:r w:rsidR="007521F8" w:rsidRPr="00344B73">
        <w:rPr>
          <w:rFonts w:ascii="Futura Lt BT" w:hAnsi="Futura Lt BT"/>
          <w:b/>
          <w:sz w:val="35"/>
          <w:szCs w:val="35"/>
        </w:rPr>
        <w:lastRenderedPageBreak/>
        <w:t xml:space="preserve">proceso de intermediación financiera. Lo anterior, aunado al positivo comportamiento de variables </w:t>
      </w:r>
      <w:r w:rsidR="007521F8" w:rsidRPr="00344B73">
        <w:rPr>
          <w:rFonts w:ascii="Futura Lt BT" w:hAnsi="Futura Lt BT"/>
          <w:b/>
          <w:spacing w:val="-10"/>
          <w:sz w:val="35"/>
          <w:szCs w:val="35"/>
        </w:rPr>
        <w:t>macroeconómicas fundamentales, como el crecimiento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 económico real y las bajas tasas de desempleo e inflación, refleja la solidez de los balances </w:t>
      </w:r>
      <w:proofErr w:type="spellStart"/>
      <w:r w:rsidR="007521F8" w:rsidRPr="00344B73">
        <w:rPr>
          <w:rFonts w:ascii="Futura Lt BT" w:hAnsi="Futura Lt BT"/>
          <w:b/>
          <w:sz w:val="35"/>
          <w:szCs w:val="35"/>
        </w:rPr>
        <w:t>macro</w:t>
      </w:r>
      <w:r w:rsidR="00344B73">
        <w:rPr>
          <w:rFonts w:ascii="Futura Lt BT" w:hAnsi="Futura Lt BT"/>
          <w:b/>
          <w:sz w:val="35"/>
          <w:szCs w:val="35"/>
        </w:rPr>
        <w:t>-</w:t>
      </w:r>
      <w:r w:rsidR="007521F8" w:rsidRPr="00344B73">
        <w:rPr>
          <w:rFonts w:ascii="Futura Lt BT" w:hAnsi="Futura Lt BT"/>
          <w:b/>
          <w:spacing w:val="-4"/>
          <w:sz w:val="35"/>
          <w:szCs w:val="35"/>
        </w:rPr>
        <w:t>económicos</w:t>
      </w:r>
      <w:proofErr w:type="spellEnd"/>
      <w:r w:rsidR="007521F8" w:rsidRPr="00344B73">
        <w:rPr>
          <w:rFonts w:ascii="Futura Lt BT" w:hAnsi="Futura Lt BT"/>
          <w:b/>
          <w:spacing w:val="-4"/>
          <w:sz w:val="35"/>
          <w:szCs w:val="35"/>
        </w:rPr>
        <w:t xml:space="preserve"> y respalda la decisión adoptada respecto</w:t>
      </w:r>
      <w:r w:rsidR="007521F8" w:rsidRPr="00344B73">
        <w:rPr>
          <w:rFonts w:ascii="Futura Lt BT" w:hAnsi="Futura Lt BT"/>
          <w:b/>
          <w:sz w:val="35"/>
          <w:szCs w:val="35"/>
        </w:rPr>
        <w:t xml:space="preserve"> a la TRM</w:t>
      </w:r>
      <w:r w:rsidR="008D4450" w:rsidRPr="00344B73">
        <w:rPr>
          <w:rFonts w:ascii="Futura Lt BT" w:hAnsi="Futura Lt BT"/>
          <w:b/>
          <w:sz w:val="35"/>
          <w:szCs w:val="35"/>
        </w:rPr>
        <w:t>.</w:t>
      </w:r>
    </w:p>
    <w:bookmarkEnd w:id="1"/>
    <w:p w14:paraId="64083A90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2ABB80FA" w14:textId="77777777" w:rsidR="00491182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sz w:val="35"/>
          <w:szCs w:val="35"/>
        </w:rPr>
        <w:t>El BCN continuará dando seguimiento a la evolución de los principales indicadores económicos, tanto externos como internos, a fin de considerar los ajustes correspondientes a la TRM en el tiempo que sea necesario.</w:t>
      </w:r>
    </w:p>
    <w:p w14:paraId="764FC86A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6DC8834A" w14:textId="7777777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</w:p>
    <w:p w14:paraId="4061A698" w14:textId="66CDA8F7" w:rsidR="008D4450" w:rsidRPr="00344B73" w:rsidRDefault="008D4450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sz w:val="35"/>
          <w:szCs w:val="35"/>
        </w:rPr>
        <w:t xml:space="preserve">Managua, </w:t>
      </w:r>
      <w:r w:rsidR="00D655A6" w:rsidRPr="00344B73">
        <w:rPr>
          <w:rFonts w:ascii="Futura Lt BT" w:hAnsi="Futura Lt BT"/>
          <w:b/>
          <w:sz w:val="35"/>
          <w:szCs w:val="35"/>
        </w:rPr>
        <w:t>14</w:t>
      </w:r>
      <w:r w:rsidR="0034561E" w:rsidRPr="00344B73">
        <w:rPr>
          <w:rFonts w:ascii="Futura Lt BT" w:hAnsi="Futura Lt BT"/>
          <w:b/>
          <w:sz w:val="35"/>
          <w:szCs w:val="35"/>
        </w:rPr>
        <w:t xml:space="preserve"> </w:t>
      </w:r>
      <w:r w:rsidRPr="00344B73">
        <w:rPr>
          <w:rFonts w:ascii="Futura Lt BT" w:hAnsi="Futura Lt BT"/>
          <w:b/>
          <w:sz w:val="35"/>
          <w:szCs w:val="35"/>
        </w:rPr>
        <w:t xml:space="preserve">de </w:t>
      </w:r>
      <w:proofErr w:type="gramStart"/>
      <w:r w:rsidR="00344B73">
        <w:rPr>
          <w:rFonts w:ascii="Futura Lt BT" w:hAnsi="Futura Lt BT"/>
          <w:b/>
          <w:sz w:val="35"/>
          <w:szCs w:val="35"/>
        </w:rPr>
        <w:t>O</w:t>
      </w:r>
      <w:r w:rsidR="0034561E" w:rsidRPr="00344B73">
        <w:rPr>
          <w:rFonts w:ascii="Futura Lt BT" w:hAnsi="Futura Lt BT"/>
          <w:b/>
          <w:sz w:val="35"/>
          <w:szCs w:val="35"/>
        </w:rPr>
        <w:t>ctubre</w:t>
      </w:r>
      <w:proofErr w:type="gramEnd"/>
      <w:r w:rsidR="0034561E" w:rsidRPr="00344B73">
        <w:rPr>
          <w:rFonts w:ascii="Futura Lt BT" w:hAnsi="Futura Lt BT"/>
          <w:b/>
          <w:sz w:val="35"/>
          <w:szCs w:val="35"/>
        </w:rPr>
        <w:t xml:space="preserve"> </w:t>
      </w:r>
      <w:r w:rsidRPr="00344B73">
        <w:rPr>
          <w:rFonts w:ascii="Futura Lt BT" w:hAnsi="Futura Lt BT"/>
          <w:b/>
          <w:sz w:val="35"/>
          <w:szCs w:val="35"/>
        </w:rPr>
        <w:t>de 2026</w:t>
      </w:r>
    </w:p>
    <w:p w14:paraId="7D40E0AB" w14:textId="77777777" w:rsidR="002C239E" w:rsidRPr="00344B73" w:rsidRDefault="002C239E" w:rsidP="00344B73">
      <w:pPr>
        <w:pStyle w:val="Sinespaciado"/>
        <w:jc w:val="both"/>
        <w:rPr>
          <w:rFonts w:ascii="Futura Lt BT" w:hAnsi="Futura Lt BT"/>
          <w:b/>
          <w:sz w:val="35"/>
          <w:szCs w:val="35"/>
        </w:rPr>
      </w:pPr>
      <w:r w:rsidRPr="00344B73">
        <w:rPr>
          <w:rFonts w:ascii="Futura Lt BT" w:hAnsi="Futura Lt BT"/>
          <w:b/>
          <w:noProof/>
          <w:sz w:val="35"/>
          <w:szCs w:val="35"/>
        </w:rPr>
        <w:drawing>
          <wp:anchor distT="0" distB="0" distL="114300" distR="114300" simplePos="0" relativeHeight="251664384" behindDoc="1" locked="0" layoutInCell="1" allowOverlap="1" wp14:anchorId="475C37B4" wp14:editId="53CD091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90180" cy="859790"/>
            <wp:effectExtent l="0" t="0" r="1270" b="0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ta de Prensa 2026 inferio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018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C239E" w:rsidRPr="00344B73" w:rsidSect="00D92428">
      <w:pgSz w:w="12240" w:h="15840" w:code="119"/>
      <w:pgMar w:top="1134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C284E" w14:textId="77777777" w:rsidR="00566679" w:rsidRDefault="00566679" w:rsidP="002F0232">
      <w:r>
        <w:separator/>
      </w:r>
    </w:p>
  </w:endnote>
  <w:endnote w:type="continuationSeparator" w:id="0">
    <w:p w14:paraId="3181BFF9" w14:textId="77777777" w:rsidR="00566679" w:rsidRDefault="00566679" w:rsidP="002F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Lt BT">
    <w:altName w:val="Segoe UI"/>
    <w:charset w:val="00"/>
    <w:family w:val="swiss"/>
    <w:pitch w:val="variable"/>
    <w:sig w:usb0="00000087" w:usb1="00000000" w:usb2="00000000" w:usb3="00000000" w:csb0="0000001B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C2614" w14:textId="77777777" w:rsidR="00566679" w:rsidRDefault="00566679" w:rsidP="002F0232">
      <w:r>
        <w:separator/>
      </w:r>
    </w:p>
  </w:footnote>
  <w:footnote w:type="continuationSeparator" w:id="0">
    <w:p w14:paraId="534224E0" w14:textId="77777777" w:rsidR="00566679" w:rsidRDefault="00566679" w:rsidP="002F0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464C2"/>
    <w:multiLevelType w:val="multilevel"/>
    <w:tmpl w:val="67BAE7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1C1562"/>
    <w:multiLevelType w:val="hybridMultilevel"/>
    <w:tmpl w:val="1AC082AE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4377283">
    <w:abstractNumId w:val="0"/>
  </w:num>
  <w:num w:numId="2" w16cid:durableId="1935480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32"/>
    <w:rsid w:val="00016B07"/>
    <w:rsid w:val="000425C8"/>
    <w:rsid w:val="00042ED3"/>
    <w:rsid w:val="0006747C"/>
    <w:rsid w:val="0008373B"/>
    <w:rsid w:val="000A0EFA"/>
    <w:rsid w:val="000F2DE8"/>
    <w:rsid w:val="00102D97"/>
    <w:rsid w:val="00113676"/>
    <w:rsid w:val="00134CB3"/>
    <w:rsid w:val="001358C5"/>
    <w:rsid w:val="001433E9"/>
    <w:rsid w:val="0014349E"/>
    <w:rsid w:val="00160212"/>
    <w:rsid w:val="00160A0C"/>
    <w:rsid w:val="0016610F"/>
    <w:rsid w:val="0017208D"/>
    <w:rsid w:val="00180952"/>
    <w:rsid w:val="0019313B"/>
    <w:rsid w:val="0019318E"/>
    <w:rsid w:val="001A5911"/>
    <w:rsid w:val="001B75AD"/>
    <w:rsid w:val="001E1C05"/>
    <w:rsid w:val="001F6065"/>
    <w:rsid w:val="00200D57"/>
    <w:rsid w:val="002575BB"/>
    <w:rsid w:val="00290000"/>
    <w:rsid w:val="002A3091"/>
    <w:rsid w:val="002A6A20"/>
    <w:rsid w:val="002C239E"/>
    <w:rsid w:val="002C2BF9"/>
    <w:rsid w:val="002D4DCB"/>
    <w:rsid w:val="002D6890"/>
    <w:rsid w:val="002E6C4A"/>
    <w:rsid w:val="002F0232"/>
    <w:rsid w:val="003029AE"/>
    <w:rsid w:val="00302AE6"/>
    <w:rsid w:val="00311398"/>
    <w:rsid w:val="00316295"/>
    <w:rsid w:val="00325388"/>
    <w:rsid w:val="00330F30"/>
    <w:rsid w:val="00344B73"/>
    <w:rsid w:val="0034561E"/>
    <w:rsid w:val="00366237"/>
    <w:rsid w:val="003852B3"/>
    <w:rsid w:val="003C27EB"/>
    <w:rsid w:val="004013ED"/>
    <w:rsid w:val="00427165"/>
    <w:rsid w:val="00443153"/>
    <w:rsid w:val="00451113"/>
    <w:rsid w:val="00473EF4"/>
    <w:rsid w:val="00491182"/>
    <w:rsid w:val="00496819"/>
    <w:rsid w:val="004A013B"/>
    <w:rsid w:val="004B30FF"/>
    <w:rsid w:val="004F5711"/>
    <w:rsid w:val="00520090"/>
    <w:rsid w:val="0055065F"/>
    <w:rsid w:val="00551704"/>
    <w:rsid w:val="00566679"/>
    <w:rsid w:val="005869C8"/>
    <w:rsid w:val="00594357"/>
    <w:rsid w:val="005A7E3F"/>
    <w:rsid w:val="005C631E"/>
    <w:rsid w:val="005D0CA9"/>
    <w:rsid w:val="005E1E48"/>
    <w:rsid w:val="005F5ACC"/>
    <w:rsid w:val="006162C1"/>
    <w:rsid w:val="00623209"/>
    <w:rsid w:val="00632549"/>
    <w:rsid w:val="00647443"/>
    <w:rsid w:val="006528DD"/>
    <w:rsid w:val="00655423"/>
    <w:rsid w:val="0067626E"/>
    <w:rsid w:val="00692772"/>
    <w:rsid w:val="006B1F5C"/>
    <w:rsid w:val="006E26EA"/>
    <w:rsid w:val="006E5030"/>
    <w:rsid w:val="006E58B5"/>
    <w:rsid w:val="006F26EF"/>
    <w:rsid w:val="00716C7A"/>
    <w:rsid w:val="007521F8"/>
    <w:rsid w:val="00753B7C"/>
    <w:rsid w:val="00754B77"/>
    <w:rsid w:val="007637AB"/>
    <w:rsid w:val="007872A1"/>
    <w:rsid w:val="007A35F9"/>
    <w:rsid w:val="007A6033"/>
    <w:rsid w:val="007F3A61"/>
    <w:rsid w:val="00827A2E"/>
    <w:rsid w:val="008307E4"/>
    <w:rsid w:val="00875E76"/>
    <w:rsid w:val="008A678C"/>
    <w:rsid w:val="008C268C"/>
    <w:rsid w:val="008D0C2B"/>
    <w:rsid w:val="008D4450"/>
    <w:rsid w:val="008E4E1A"/>
    <w:rsid w:val="00924124"/>
    <w:rsid w:val="009423A6"/>
    <w:rsid w:val="009448DC"/>
    <w:rsid w:val="00952A9B"/>
    <w:rsid w:val="0096311D"/>
    <w:rsid w:val="009876B0"/>
    <w:rsid w:val="009A0CCB"/>
    <w:rsid w:val="009A4978"/>
    <w:rsid w:val="00A166BB"/>
    <w:rsid w:val="00A2746B"/>
    <w:rsid w:val="00A31ACB"/>
    <w:rsid w:val="00A70135"/>
    <w:rsid w:val="00A718C3"/>
    <w:rsid w:val="00A7249A"/>
    <w:rsid w:val="00A745A9"/>
    <w:rsid w:val="00A93F02"/>
    <w:rsid w:val="00AB0E95"/>
    <w:rsid w:val="00AD76E3"/>
    <w:rsid w:val="00AE276C"/>
    <w:rsid w:val="00AF5042"/>
    <w:rsid w:val="00AF740F"/>
    <w:rsid w:val="00B21310"/>
    <w:rsid w:val="00B27317"/>
    <w:rsid w:val="00B51664"/>
    <w:rsid w:val="00B668D0"/>
    <w:rsid w:val="00B71211"/>
    <w:rsid w:val="00B7530A"/>
    <w:rsid w:val="00B81AFC"/>
    <w:rsid w:val="00B94EFF"/>
    <w:rsid w:val="00BB02D2"/>
    <w:rsid w:val="00BB69BD"/>
    <w:rsid w:val="00C17A48"/>
    <w:rsid w:val="00C24C92"/>
    <w:rsid w:val="00C62C38"/>
    <w:rsid w:val="00C74E94"/>
    <w:rsid w:val="00C804BC"/>
    <w:rsid w:val="00C858FD"/>
    <w:rsid w:val="00CC7385"/>
    <w:rsid w:val="00D165A0"/>
    <w:rsid w:val="00D230B2"/>
    <w:rsid w:val="00D2312C"/>
    <w:rsid w:val="00D44954"/>
    <w:rsid w:val="00D47924"/>
    <w:rsid w:val="00D617CA"/>
    <w:rsid w:val="00D640BC"/>
    <w:rsid w:val="00D655A6"/>
    <w:rsid w:val="00D92428"/>
    <w:rsid w:val="00DF0FBE"/>
    <w:rsid w:val="00DF115B"/>
    <w:rsid w:val="00E00ADF"/>
    <w:rsid w:val="00E021D7"/>
    <w:rsid w:val="00E41F16"/>
    <w:rsid w:val="00E5109D"/>
    <w:rsid w:val="00E57B81"/>
    <w:rsid w:val="00EC7CBA"/>
    <w:rsid w:val="00ED0EE3"/>
    <w:rsid w:val="00EE254A"/>
    <w:rsid w:val="00EE5FA6"/>
    <w:rsid w:val="00EE6533"/>
    <w:rsid w:val="00F02790"/>
    <w:rsid w:val="00F27B35"/>
    <w:rsid w:val="00F31518"/>
    <w:rsid w:val="00F414CD"/>
    <w:rsid w:val="00F46023"/>
    <w:rsid w:val="00F62711"/>
    <w:rsid w:val="00F86064"/>
    <w:rsid w:val="00FA70E2"/>
    <w:rsid w:val="00FB2016"/>
    <w:rsid w:val="00FB533A"/>
    <w:rsid w:val="00FC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07A353"/>
  <w15:chartTrackingRefBased/>
  <w15:docId w15:val="{13268617-5809-47AD-9ACD-17D12256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232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F02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0232"/>
    <w:pPr>
      <w:spacing w:before="100" w:beforeAutospacing="1" w:after="100" w:afterAutospacing="1"/>
    </w:pPr>
    <w:rPr>
      <w:lang w:eastAsia="es-NI"/>
    </w:rPr>
  </w:style>
  <w:style w:type="paragraph" w:customStyle="1" w:styleId="isselectedend">
    <w:name w:val="isselectedend"/>
    <w:basedOn w:val="Normal"/>
    <w:uiPriority w:val="99"/>
    <w:semiHidden/>
    <w:rsid w:val="002F0232"/>
    <w:pPr>
      <w:spacing w:before="100" w:beforeAutospacing="1" w:after="100" w:afterAutospacing="1"/>
    </w:pPr>
    <w:rPr>
      <w:lang w:eastAsia="es-NI"/>
    </w:rPr>
  </w:style>
  <w:style w:type="paragraph" w:styleId="Encabezado">
    <w:name w:val="header"/>
    <w:basedOn w:val="Normal"/>
    <w:link w:val="EncabezadoCar"/>
    <w:uiPriority w:val="99"/>
    <w:unhideWhenUsed/>
    <w:rsid w:val="002F023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0232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2F023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0232"/>
    <w:rPr>
      <w:rFonts w:ascii="Calibri" w:hAnsi="Calibri" w:cs="Calibri"/>
    </w:rPr>
  </w:style>
  <w:style w:type="paragraph" w:styleId="Sinespaciado">
    <w:name w:val="No Spacing"/>
    <w:uiPriority w:val="1"/>
    <w:qFormat/>
    <w:rsid w:val="00491182"/>
    <w:pPr>
      <w:spacing w:after="0" w:line="240" w:lineRule="auto"/>
    </w:pPr>
    <w:rPr>
      <w:rFonts w:ascii="Calibri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109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09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E6533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5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C31BF-F903-4E00-945A-F46FBFA1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579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Pereira Artola, Inty de los Andes</dc:creator>
  <cp:keywords/>
  <dc:description/>
  <cp:lastModifiedBy>marlonhenriquez375@gmail.com</cp:lastModifiedBy>
  <cp:revision>2</cp:revision>
  <cp:lastPrinted>2026-10-14T21:47:00Z</cp:lastPrinted>
  <dcterms:created xsi:type="dcterms:W3CDTF">2026-10-14T21:48:00Z</dcterms:created>
  <dcterms:modified xsi:type="dcterms:W3CDTF">2026-10-14T21:48:00Z</dcterms:modified>
</cp:coreProperties>
</file>